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SCHEDA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 L’INDIVIDUAZIONE DEI SOPRANNUMERARI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PERSONALE ATA A.S. 202</w:t>
      </w:r>
      <w:r w:rsidDel="00000000" w:rsidR="00000000" w:rsidRPr="00000000">
        <w:rPr>
          <w:b w:val="1"/>
          <w:rtl w:val="0"/>
        </w:rPr>
        <w:t xml:space="preserve">4/2025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Dirigente Scolastico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LICEO “G. B. VICO”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ab/>
        <w:tab/>
        <w:tab/>
        <w:t xml:space="preserve">  LATERZA (TA)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_l_ sottoscritt_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nat_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provincia di ____ il _________________residente in  __________________________________________________________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titolare preso codesto Istituto  dall’anno scolastico _________/________ profilo  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D.P.R. 28.12.2000, n. 445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(Testo unico delle disposizioni legislative e regolamentari in materia di documentazione amministrativa)  e successive modifiche ed integrazioni,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 di aver diritto al seguente punteggio: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ANZIANITÀ DI SERVIZIO (F):</w:t>
      </w:r>
    </w:p>
    <w:tbl>
      <w:tblPr>
        <w:tblStyle w:val="Table1"/>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vAlign w:val="top"/>
          </w:tcPr>
          <w:p w:rsidR="00000000" w:rsidDel="00000000" w:rsidP="00000000" w:rsidRDefault="00000000" w:rsidRPr="00000000" w14:paraId="00000012">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SERVIZIO</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cantSplit w:val="0"/>
          <w:trHeight w:val="475" w:hRule="atLeast"/>
          <w:tblHeader w:val="0"/>
        </w:trPr>
        <w:tc>
          <w:tcPr>
            <w:tcBorders>
              <w:top w:color="000000" w:space="0" w:sz="4" w:val="single"/>
              <w:left w:color="000000" w:space="0" w:sz="8"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effettivamente prestato successivamente alla decorrenza giuridica della nomina nel profilo professionale di appartenenza (2) (a) (da computarsi fino alla data di scadenza del termine di presentazione della domanda)….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_______ </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11" w:hRule="atLeast"/>
          <w:tblHeader w:val="0"/>
        </w:trPr>
        <w:tc>
          <w:tcPr>
            <w:tcBorders>
              <w:top w:color="000000" w:space="0" w:sz="4" w:val="single"/>
              <w:left w:color="000000" w:space="0" w:sz="8"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390" w:hRule="atLeast"/>
          <w:tblHeader w:val="0"/>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non di ruolo o di altro servizio riconosciuto o riconoscibile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315" w:hRule="atLeast"/>
          <w:tblHeader w:val="0"/>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70" w:hRule="atLeast"/>
          <w:tblHeader w:val="0"/>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  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8"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280" w:hRule="atLeast"/>
          <w:tblHeader w:val="0"/>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450" w:hRule="atLeast"/>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ai 6 mesi di servizio di ruolo effettivamente prestato a qualsiasi titolo in Pubbliche Amministrazioni o negli Enti Locali (b) (g) (h)………………..……………</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8"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618" w:hRule="atLeast"/>
          <w:tblHeader w:val="0"/>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intero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servizio prestato nel profilo di appartenenza senza soluzione di continuità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scuola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attuale titolarità (4) (11) (in aggiunta a quello previsto dalle lettere A) e B) (c) (d)</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8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 punti 12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  </w:t>
            </w:r>
            <w:r w:rsidDel="00000000" w:rsidR="00000000" w:rsidRPr="00000000">
              <w:rPr>
                <w:rtl w:val="0"/>
              </w:rPr>
            </w:r>
          </w:p>
          <w:p w:rsidR="00000000" w:rsidDel="00000000" w:rsidP="00000000" w:rsidRDefault="00000000" w:rsidRPr="00000000" w14:paraId="00000039">
            <w:pPr>
              <w:keepNext w:val="1"/>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8" w:val="single"/>
            </w:tcBorders>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250" w:hRule="atLeast"/>
          <w:tblHeader w:val="0"/>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44" w:hRule="atLeast"/>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anno intero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servizio di ruolo prestato nel profilo di appartenenza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sede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(comune) di attuale titolarità senza soluzione di continuità (4Bis) in aggiunta a quello previsto dalle lettere A) e B) e, per i periodi che non siano coincidenti, anche alla lettera D) (c) (valido solo per i trasferimenti d’ufficio)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coloro che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un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è</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riconosciuto,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il predetto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 punteggio aggiuntivo a quello previsto dalle lettere A) e B) , C) e D) (e)…………..………………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Nota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8" w:hRule="atLeast"/>
          <w:tblHeader w:val="0"/>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ANZIANITA’ DI SERVIZIO………………</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ESIGENZE DI FAMIGLIA (4 ter) (5) (5 bis):</w:t>
      </w:r>
    </w:p>
    <w:tbl>
      <w:tblPr>
        <w:tblStyle w:val="Table2"/>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ricongiungimento o riavvicinamento al coniuge ovvero, nel  caso di docenti senza coniuge o separato giudizialmente o consensualmente con atto omologato dal tribunale, per ricongiungimento o riavvicinamento ai genitori o ai figli  (5)…..................................................................................................................................................….</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 </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figlio di età inferiore a sei anni (6)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____</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___</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la cura e l’assistenza dei figli minorati fisici, psichici o sensoriali, tossicodipendenti, ovvero del coniuge o del genitore totalmente e permanentemente inabili al lavoro che possono essere assistiti soltanto nel comune richiesto (7) (1) ecc…………………………………………………………………………………………………….……………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ESIGENZE DI FAMIGLIA</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TITOLI GENERALI:</w:t>
      </w:r>
      <w:r w:rsidDel="00000000" w:rsidR="00000000" w:rsidRPr="00000000">
        <w:rPr>
          <w:rtl w:val="0"/>
        </w:rPr>
      </w:r>
    </w:p>
    <w:tbl>
      <w:tblPr>
        <w:tblStyle w:val="Table3"/>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per l'inclusione nella graduatoria di merito di concorsi per esami per l'accesso al ruolo di appartenenza (9)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per l'inclusione nella graduatoria di merito di concorsi per esami per l'accesso al ruolo di livello superiore a quello di appartenenza(10)…………………………………………………………………………………………………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TITOLI GENERALI</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PUNTEGGIO</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 Allega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1">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__________________________                                                                          Firma_______________________________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per quest’ultimo personale, ovviamente, non deve essere di nuovo valutato il servizio di cui alla lettera A) e B).</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Al personale transitato dagli Enti Locali allo 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diritto all’attribuzione del punteggio deve essere attestato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apposita dichiarazione personale, nella quale si elencano gli anni in cui non si è presentata la domanda di mobilità volontaria in ambito provinciale, analoga al modello allegato all’O.M. sulla mobilità del personale.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maturazione una tantum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utile un triennio compreso nel periodo intercorrente tra le domande di mobilità per l’a.s. 2000/2001 e quelle per l’anno scolastico 2007/2008.</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le domande di mobilità per l’anno scolastico 2007/2008 si è, infatti, concluso il periodo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utile per l’acquisizione del punteggio aggiuntivo a seguito della maturazione del triennio.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punteggio viene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inoltre,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riconosciuto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anche a coloro che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suddetto periodo, hanno presentato in ambito provinciale: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condizionata di trasferimento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quanto individuati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soprannumerari;</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individuato soprannumerario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Analogamente non perde il riconoscimento del punteggio aggiuntivo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personale trasferito d’ufficio o a domanda condizionata che nel periodo di cui sopra non chiede il rientro nella scuola di precedente titolarità.</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ogni caso la sola presentazione della domanda di mobilità, anche in ambito provinciale, non determina la perdita del punteggio aggiuntivo una volta che lo stesso è stato acquisito.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Vanno computati nell’anzianità di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tutti gli effetti, i periodi di congedo retribuiti e non retribuiti disciplinati dal Decreto Legislativo 26.3.2001 n. 151 (Capo III – Congedo di maternità, Capo IV – Congedo di paternità, Capo V – Congedo parentale, Capo VII – Congedi per la malattia del figlio).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 norma del D.P.R. 28.12.2000, n. 445</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l'interessato può comprovare con dichiarazione personale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 valutato il periodo coperto da decorrenza giuridica della nomina purché sia stato prestato effettivo servizio nello stesso profilo professionale. Sono comunque valutati con il punteggio previsto dalla presente voce i seguenti servizi:</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nel profilo di provenienza per il personale transitato nell'attuale profilo, a seguito di passaggio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nell’ambito della stessa qualifica o area ai sensi dell'art. 19, del D.P.R. 399/88 e dell'art. 38, del D.P.R. 209/87 e dell’art. 1 comma 2 lettera B della sequenza contrattuale del 25 luglio 2008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in profilo diverso da quello di appartenenza a seguito di utilizzazione o assegnazione provvisoria;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in scuola diversa da quella di titolarità da parte del personale responsabile amministrativo o assistente amministrativo a seguito di utilizzazione, ai sensi dell’art. 11 bis del C.C.N.I. 13.6.2005 e successivi, per la sostituzione del DSGA;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dal personale inidoneo durante il periodo di collocamento fuori ruolo ai sensi dell’art. 23, comma 5, del C.C.N.L. sottoscritto il 4 agosto 1995 in mansioni parziali del profilo di appartenenza o in altro profilo comunque coerenti;</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l’attribuzione del punteggio relativo al servizio effettivamente prestato nelle scuole o istituti situati nelle piccole isole si prescinde dal requisito della residenza in sede;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l'attribuzione dei punteggi previsti per l'anzianità di servizio - punto I, lettere A), B), C),</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agli insegnanti elementari collocati permanentemente fuori 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sensi dell’art. 21, della legge 9.8.1978,n. 463 è valutato il servizio prestato nella carriera di appartenenza, sia in qualità di insegnante elementare sia con mansioni di responsabile amministrativo;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Tali servizi sono riconosciuti nelle lettere A) e B);</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ogni anno prestato nei Paesi in via di sviluppo il punteggio è raddoppiato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 valutazione del servizio pre-ruolo,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il punteggio previsto dalla presente voce vanno valutati i seguenti servizi o periodi:</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di ruolo prestato in qualità di docente;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 calcolo del punteggio di perdente posto si prescinde dal computo del triennio.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precisa che per l'attribuzione del punteggio devono concorrere, per gli anni considerati, la titolarità nel profilo di attuale appartenenza (per gli assistenti tecnici indipendentemente dall’area professionale di titolarità)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Non interrompe, altresì, la continuità del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l’utilizzazione per la sostituzione del DSGA,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ai sensi dell’art. 14  del CCNI. 11.09.2014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parte del personale responsabile amministrativo o assistente amministrativo in scuola diversa da quella di titolarità.</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soprannumerario 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(4Bis)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Si precisa che il punteggio in questione va attribuito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(4Ter)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formulazione della graduatoria per l’individuazione del soprannumerario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 esigenze di famiglia, da considerarsi in questo caso come esigenze di non allontanamento dalla scuola e dal comune di attuale titolarità, sono valutate nella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seguente maniera: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b) e lettera c) valgono sempre;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così calcolato viene utilizzato anche nelle operazioni di trasferimento d’ufficio del soprannumerario.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punteggio spetta per il comune di residenza del familiare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bis) Per i soli trasferimenti a domanda, le situazioni di cui al presente titolo non si valutano per i trasferimenti nell’ambito della stessa sede (per sede si intende “comune”).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Il punteggio va attribuito anche per i figli che compiono i 6 anni o i 18 anni tra il 1° gennaio e il 31 dicembre dell'anno in cui si effettua il trasferimento.</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La valutazione e' attribuita nei seguenti casi: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figlio minorato ovvero coniuge, o genitore, ricoverati permanentemente in istituto di cura;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figlio minorato, ovvero coniuge, o genitore, bisognosi di cure continuative presso un istituto di cura tali da comportare la necessità di risiedere nella sede dell'istituto medesimo.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Per l'attribuzione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della L. n. 124/99.</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Il servizio prestato in qualità di incaricato ex art. 5 dell’Accordo ARAN – OOSS 8.3.2002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58, del CCNL 24.7.2003 e ex art. 59 del CCNL del 29/11/2007, è da valutare con lo stesso punteggio previsto per il servizio non di ruolo. Tale servizio, qualora abbia avuto una durata superiore a 180 gg, interrompe la continuità.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426" w:left="851" w:right="567" w:header="709"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2"/>
      <w:numFmt w:val="bullet"/>
      <w:lvlText w:val="-"/>
      <w:lvlJc w:val="left"/>
      <w:pPr>
        <w:ind w:left="360" w:hanging="360"/>
      </w:pPr>
      <w:rPr>
        <w:rFonts w:ascii="Times New Roman" w:cs="Times New Roman" w:eastAsia="Times New Roman" w:hAnsi="Times New Roman"/>
        <w:sz w:val="18"/>
        <w:szCs w:val="18"/>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425.19685039370086"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autoSpaceDE w:val="0"/>
      <w:spacing w:line="1" w:lineRule="atLeast"/>
      <w:ind w:leftChars="-1" w:rightChars="0" w:firstLineChars="-1"/>
      <w:jc w:val="right"/>
      <w:textDirection w:val="btLr"/>
      <w:textAlignment w:val="top"/>
      <w:outlineLvl w:val="0"/>
    </w:pPr>
    <w:rPr>
      <w:b w:val="1"/>
      <w:bCs w:val="1"/>
      <w:w w:val="100"/>
      <w:position w:val="-1"/>
      <w:u w:val="single"/>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autoSpaceDE w:val="0"/>
      <w:spacing w:line="1" w:lineRule="atLeast"/>
      <w:ind w:leftChars="-1" w:rightChars="0" w:firstLineChars="-1"/>
      <w:textDirection w:val="btLr"/>
      <w:textAlignment w:val="top"/>
      <w:outlineLvl w:val="1"/>
    </w:pPr>
    <w:rPr>
      <w:b w:val="1"/>
      <w:bCs w:val="1"/>
      <w:w w:val="100"/>
      <w:position w:val="-1"/>
      <w:effect w:val="none"/>
      <w:vertAlign w:val="baseline"/>
      <w:cs w:val="0"/>
      <w:em w:val="none"/>
      <w:lang w:bidi="ar-SA" w:eastAsia="ar-SA" w:val="it-IT"/>
    </w:rPr>
  </w:style>
  <w:style w:type="paragraph" w:styleId="Titolo3">
    <w:name w:val="Titolo 3"/>
    <w:basedOn w:val="Normale"/>
    <w:next w:val="Normale"/>
    <w:autoRedefine w:val="0"/>
    <w:hidden w:val="0"/>
    <w:qFormat w:val="0"/>
    <w:pPr>
      <w:keepNext w:val="1"/>
      <w:numPr>
        <w:ilvl w:val="2"/>
        <w:numId w:val="1"/>
      </w:numPr>
      <w:suppressAutoHyphens w:val="0"/>
      <w:autoSpaceDE w:val="0"/>
      <w:spacing w:line="1" w:lineRule="atLeast"/>
      <w:ind w:leftChars="-1" w:rightChars="0" w:firstLineChars="-1"/>
      <w:textDirection w:val="btLr"/>
      <w:textAlignment w:val="top"/>
      <w:outlineLvl w:val="2"/>
    </w:pPr>
    <w:rPr>
      <w:b w:val="1"/>
      <w:bCs w:val="1"/>
      <w:w w:val="100"/>
      <w:position w:val="-1"/>
      <w:sz w:val="16"/>
      <w:szCs w:val="16"/>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numPr>
        <w:ilvl w:val="3"/>
        <w:numId w:val="1"/>
      </w:numPr>
      <w:suppressAutoHyphens w:val="0"/>
      <w:autoSpaceDE w:val="0"/>
      <w:spacing w:line="1" w:lineRule="atLeast"/>
      <w:ind w:leftChars="-1" w:rightChars="0" w:firstLineChars="-1"/>
      <w:textDirection w:val="btLr"/>
      <w:textAlignment w:val="top"/>
      <w:outlineLvl w:val="3"/>
    </w:pPr>
    <w:rPr>
      <w:b w:val="1"/>
      <w:bCs w:val="1"/>
      <w:w w:val="100"/>
      <w:position w:val="-1"/>
      <w:sz w:val="18"/>
      <w:szCs w:val="18"/>
      <w:effect w:val="none"/>
      <w:vertAlign w:val="baseline"/>
      <w:cs w:val="0"/>
      <w:em w:val="none"/>
      <w:lang w:bidi="ar-SA" w:eastAsia="ar-SA" w:val="it-IT"/>
    </w:rPr>
  </w:style>
  <w:style w:type="paragraph" w:styleId="Titolo5">
    <w:name w:val="Titolo 5"/>
    <w:basedOn w:val="Normale"/>
    <w:next w:val="Normale"/>
    <w:autoRedefine w:val="0"/>
    <w:hidden w:val="0"/>
    <w:qFormat w:val="0"/>
    <w:pPr>
      <w:keepNext w:val="1"/>
      <w:numPr>
        <w:ilvl w:val="4"/>
        <w:numId w:val="1"/>
      </w:numPr>
      <w:suppressAutoHyphens w:val="0"/>
      <w:autoSpaceDE w:val="0"/>
      <w:spacing w:line="1" w:lineRule="atLeast"/>
      <w:ind w:leftChars="-1" w:rightChars="0" w:firstLineChars="-1"/>
      <w:textDirection w:val="btLr"/>
      <w:textAlignment w:val="top"/>
      <w:outlineLvl w:val="4"/>
    </w:pPr>
    <w:rPr>
      <w:b w:val="1"/>
      <w:bCs w:val="1"/>
      <w:w w:val="100"/>
      <w:position w:val="-1"/>
      <w:effect w:val="none"/>
      <w:vertAlign w:val="baseline"/>
      <w:cs w:val="0"/>
      <w:em w:val="none"/>
      <w:lang w:bidi="ar-SA" w:eastAsia="ar-SA" w:val="it-IT"/>
    </w:rPr>
  </w:style>
  <w:style w:type="character" w:styleId="Caratterepredefinitoparagrafo0">
    <w:name w:val="Carattere predefinito paragrafo"/>
    <w:next w:val="Caratterepredefinitoparagrafo0"/>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sz w:val="18"/>
      <w:szCs w:val="18"/>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b w:val="0"/>
      <w:bCs w:val="0"/>
      <w:i w:val="0"/>
      <w:iCs w:val="0"/>
      <w:w w:val="100"/>
      <w:position w:val="-1"/>
      <w:sz w:val="20"/>
      <w:szCs w:val="20"/>
      <w:effect w:val="none"/>
      <w:vertAlign w:val="baseline"/>
      <w:cs w:val="0"/>
      <w:em w:val="none"/>
      <w:lang/>
    </w:rPr>
  </w:style>
  <w:style w:type="character" w:styleId="WW8Num7z0">
    <w:name w:val="WW8Num7z0"/>
    <w:next w:val="WW8Num7z0"/>
    <w:autoRedefine w:val="0"/>
    <w:hidden w:val="0"/>
    <w:qFormat w:val="0"/>
    <w:rPr>
      <w:rFonts w:ascii="Wingdings" w:cs="Wingdings" w:hAnsi="Wingdings" w:hint="default"/>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Wingdings" w:cs="Wingdings" w:hAnsi="Wingdings" w:hint="default"/>
      <w:w w:val="100"/>
      <w:position w:val="-1"/>
      <w:sz w:val="18"/>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sz w:val="18"/>
      <w:szCs w:val="18"/>
      <w:effect w:val="none"/>
      <w:vertAlign w:val="baseline"/>
      <w:cs w:val="0"/>
      <w:em w:val="none"/>
      <w:lang/>
    </w:rPr>
  </w:style>
  <w:style w:type="character" w:styleId="WW8Num13z0">
    <w:name w:val="WW8Num13z0"/>
    <w:next w:val="WW8Num13z0"/>
    <w:autoRedefine w:val="0"/>
    <w:hidden w:val="0"/>
    <w:qFormat w:val="0"/>
    <w:rPr>
      <w:b w:val="1"/>
      <w:bCs w:val="1"/>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b w:val="0"/>
      <w:bCs w:val="0"/>
      <w:i w:val="0"/>
      <w:iCs w:val="0"/>
      <w:w w:val="100"/>
      <w:position w:val="-1"/>
      <w:sz w:val="20"/>
      <w:szCs w:val="20"/>
      <w:effect w:val="none"/>
      <w:vertAlign w:val="baseline"/>
      <w:cs w:val="0"/>
      <w:em w:val="none"/>
      <w:lang/>
    </w:rPr>
  </w:style>
  <w:style w:type="character" w:styleId="WW8Num16z0">
    <w:name w:val="WW8Num16z0"/>
    <w:next w:val="WW8Num16z0"/>
    <w:autoRedefine w:val="0"/>
    <w:hidden w:val="0"/>
    <w:qFormat w:val="0"/>
    <w:rPr>
      <w:b w:val="1"/>
      <w:bCs w:val="1"/>
      <w:w w:val="100"/>
      <w:position w:val="-1"/>
      <w:effect w:val="none"/>
      <w:vertAlign w:val="baseline"/>
      <w:cs w:val="0"/>
      <w:em w:val="none"/>
      <w:lang/>
    </w:rPr>
  </w:style>
  <w:style w:type="character" w:styleId="Caratterepredefinitoparagrafo">
    <w:name w:val="Carattere predefinito paragrafo"/>
    <w:next w:val="Caratterepredefinitoparagrafo"/>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CorpodeltestoCarattere">
    <w:name w:val="Corpo del testo Carattere"/>
    <w:next w:val="CorpodeltestoCarattere"/>
    <w:autoRedefine w:val="0"/>
    <w:hidden w:val="0"/>
    <w:qFormat w:val="0"/>
    <w:rPr>
      <w:w w:val="100"/>
      <w:position w:val="-1"/>
      <w:sz w:val="20"/>
      <w:szCs w:val="20"/>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Corpodeltesto2Carattere">
    <w:name w:val="Corpo del testo 2 Carattere"/>
    <w:next w:val="Corpodeltesto2Carattere"/>
    <w:autoRedefine w:val="0"/>
    <w:hidden w:val="0"/>
    <w:qFormat w:val="0"/>
    <w:rPr>
      <w:w w:val="100"/>
      <w:position w:val="-1"/>
      <w:sz w:val="20"/>
      <w:szCs w:val="20"/>
      <w:effect w:val="none"/>
      <w:vertAlign w:val="baseline"/>
      <w:cs w:val="0"/>
      <w:em w:val="none"/>
      <w:lang/>
    </w:rPr>
  </w:style>
  <w:style w:type="character" w:styleId="Corpodeltesto3Carattere">
    <w:name w:val="Corpo del testo 3 Carattere"/>
    <w:next w:val="Corpodeltesto3Carattere"/>
    <w:autoRedefine w:val="0"/>
    <w:hidden w:val="0"/>
    <w:qFormat w:val="0"/>
    <w:rPr>
      <w:w w:val="100"/>
      <w:position w:val="-1"/>
      <w:sz w:val="16"/>
      <w:szCs w:val="16"/>
      <w:effect w:val="none"/>
      <w:vertAlign w:val="baseline"/>
      <w:cs w:val="0"/>
      <w:em w:val="none"/>
      <w:lang/>
    </w:rPr>
  </w:style>
  <w:style w:type="character" w:styleId="IntestazioneCarattere">
    <w:name w:val="Intestazione Carattere"/>
    <w:next w:val="IntestazioneCarattere"/>
    <w:autoRedefine w:val="0"/>
    <w:hidden w:val="0"/>
    <w:qFormat w:val="0"/>
    <w:rPr>
      <w:w w:val="100"/>
      <w:position w:val="-1"/>
      <w:sz w:val="20"/>
      <w:szCs w:val="20"/>
      <w:effect w:val="none"/>
      <w:vertAlign w:val="baseline"/>
      <w:cs w:val="0"/>
      <w:em w:val="none"/>
      <w:lang/>
    </w:rPr>
  </w:style>
  <w:style w:type="character" w:styleId="Numeropagina">
    <w:name w:val="Numero pagina"/>
    <w:next w:val="Numeropagina"/>
    <w:autoRedefine w:val="0"/>
    <w:hidden w:val="0"/>
    <w:qFormat w:val="0"/>
    <w:rPr>
      <w:w w:val="100"/>
      <w:position w:val="-1"/>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0"/>
      <w:szCs w:val="20"/>
      <w:effect w:val="none"/>
      <w:vertAlign w:val="baseline"/>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Intestazione1">
    <w:name w:val="Intestazione1"/>
    <w:basedOn w:val="Normale"/>
    <w:next w:val="Corpodeltesto"/>
    <w:autoRedefine w:val="0"/>
    <w:hidden w:val="0"/>
    <w:qFormat w:val="0"/>
    <w:pPr>
      <w:keepNext w:val="1"/>
      <w:suppressAutoHyphens w:val="0"/>
      <w:autoSpaceDE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Elenco">
    <w:name w:val="Elenco"/>
    <w:basedOn w:val="Corpodeltesto"/>
    <w:next w:val="Elenco"/>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autoSpaceDE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Sottotitolo">
    <w:name w:val="Sottotitolo"/>
    <w:basedOn w:val="Normale"/>
    <w:next w:val="Corpodeltesto"/>
    <w:autoRedefine w:val="0"/>
    <w:hidden w:val="0"/>
    <w:qFormat w:val="0"/>
    <w:pPr>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Corpodeltesto21">
    <w:name w:val="Corpo del testo 21"/>
    <w:basedOn w:val="Normale"/>
    <w:next w:val="Corpodeltesto21"/>
    <w:autoRedefine w:val="0"/>
    <w:hidden w:val="0"/>
    <w:qFormat w:val="0"/>
    <w:pPr>
      <w:keepNext w:val="1"/>
      <w:keepLines w:val="1"/>
      <w:suppressAutoHyphens w:val="0"/>
      <w:autoSpaceDE w:val="0"/>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ar-SA" w:val="it-IT"/>
    </w:rPr>
  </w:style>
  <w:style w:type="paragraph" w:styleId="testo1">
    <w:name w:val="testo1"/>
    <w:basedOn w:val="Normale"/>
    <w:next w:val="testo1"/>
    <w:autoRedefine w:val="0"/>
    <w:hidden w:val="0"/>
    <w:qFormat w:val="0"/>
    <w:pPr>
      <w:suppressAutoHyphens w:val="0"/>
      <w:autoSpaceDE w:val="0"/>
      <w:spacing w:line="1" w:lineRule="atLeast"/>
      <w:ind w:left="567" w:right="0" w:leftChars="-1" w:rightChars="0" w:firstLine="0" w:firstLineChars="-1"/>
      <w:jc w:val="both"/>
      <w:textDirection w:val="btLr"/>
      <w:textAlignment w:val="top"/>
      <w:outlineLvl w:val="0"/>
    </w:pPr>
    <w:rPr>
      <w:w w:val="100"/>
      <w:position w:val="-1"/>
      <w:effect w:val="none"/>
      <w:vertAlign w:val="baseline"/>
      <w:cs w:val="0"/>
      <w:em w:val="none"/>
      <w:lang w:bidi="ar-SA" w:eastAsia="ar-SA" w:val="it-IT"/>
    </w:rPr>
  </w:style>
  <w:style w:type="paragraph" w:styleId="Corpodeltesto31">
    <w:name w:val="Corpo del testo 31"/>
    <w:basedOn w:val="Normale"/>
    <w:next w:val="Corpodeltesto31"/>
    <w:autoRedefine w:val="0"/>
    <w:hidden w:val="0"/>
    <w:qFormat w:val="0"/>
    <w:pPr>
      <w:suppressAutoHyphens w:val="0"/>
      <w:autoSpaceDE w:val="0"/>
      <w:spacing w:line="1" w:lineRule="atLeast"/>
      <w:ind w:left="0" w:right="84" w:leftChars="-1" w:rightChars="0" w:firstLine="0" w:firstLineChars="-1"/>
      <w:jc w:val="both"/>
      <w:textDirection w:val="btLr"/>
      <w:textAlignment w:val="top"/>
      <w:outlineLvl w:val="0"/>
    </w:pPr>
    <w:rPr>
      <w:w w:val="100"/>
      <w:position w:val="-1"/>
      <w:sz w:val="22"/>
      <w:szCs w:val="22"/>
      <w:effect w:val="none"/>
      <w:vertAlign w:val="baseline"/>
      <w:cs w:val="0"/>
      <w:em w:val="none"/>
      <w:lang w:bidi="ar-SA" w:eastAsia="ar-SA" w:val="it-IT"/>
    </w:rPr>
  </w:style>
  <w:style w:type="paragraph" w:styleId="BodyText32">
    <w:name w:val="Body Text 32"/>
    <w:basedOn w:val="Normale"/>
    <w:next w:val="BodyText32"/>
    <w:autoRedefine w:val="0"/>
    <w:hidden w:val="0"/>
    <w:qFormat w:val="0"/>
    <w:pPr>
      <w:suppressAutoHyphens w:val="0"/>
      <w:autoSpaceDE w:val="0"/>
      <w:spacing w:line="1" w:lineRule="atLeast"/>
      <w:ind w:left="0" w:right="84" w:leftChars="-1" w:rightChars="0" w:firstLine="0" w:firstLineChars="-1"/>
      <w:jc w:val="both"/>
      <w:textDirection w:val="btLr"/>
      <w:textAlignment w:val="top"/>
      <w:outlineLvl w:val="0"/>
    </w:pPr>
    <w:rPr>
      <w:w w:val="100"/>
      <w:position w:val="-1"/>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Sommario6">
    <w:name w:val="Sommario 6"/>
    <w:basedOn w:val="Normale"/>
    <w:next w:val="Normal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ar-SA" w:val="it-IT"/>
    </w:rPr>
  </w:style>
  <w:style w:type="paragraph" w:styleId="Testodelblocco1">
    <w:name w:val="Testo del blocco1"/>
    <w:basedOn w:val="Normale"/>
    <w:next w:val="Testodelblocco1"/>
    <w:autoRedefine w:val="0"/>
    <w:hidden w:val="0"/>
    <w:qFormat w:val="0"/>
    <w:pPr>
      <w:suppressAutoHyphens w:val="0"/>
      <w:autoSpaceDE w:val="0"/>
      <w:spacing w:line="1" w:lineRule="atLeast"/>
      <w:ind w:left="426" w:right="567" w:leftChars="-1" w:rightChars="0" w:hanging="426"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autoSpaceDE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Contenutocornice">
    <w:name w:val="Contenuto cornice"/>
    <w:basedOn w:val="Corpodeltesto"/>
    <w:next w:val="Contenutocornic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New-Roman" w:cs="Times-New-Roman" w:hAnsi="Times-New-Roman"/>
      <w:color w:val="000000"/>
      <w:w w:val="100"/>
      <w:position w:val="-1"/>
      <w:sz w:val="24"/>
      <w:szCs w:val="24"/>
      <w:effect w:val="none"/>
      <w:vertAlign w:val="baseline"/>
      <w:cs w:val="0"/>
      <w:em w:val="none"/>
      <w:lang w:bidi="ar-SA" w:eastAsia="it-IT" w:val="it-IT"/>
    </w:rPr>
  </w:style>
  <w:style w:type="paragraph" w:styleId="CM6">
    <w:name w:val="CM6"/>
    <w:basedOn w:val="Default"/>
    <w:next w:val="Default"/>
    <w:autoRedefine w:val="0"/>
    <w:hidden w:val="0"/>
    <w:qFormat w:val="0"/>
    <w:pPr>
      <w:widowControl w:val="0"/>
      <w:suppressAutoHyphens w:val="1"/>
      <w:autoSpaceDE w:val="0"/>
      <w:autoSpaceDN w:val="0"/>
      <w:adjustRightInd w:val="0"/>
      <w:spacing w:after="240" w:line="1"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ctDt9GNxkpZKj9Zfip+ERDihg==">CgMxLjAyCWlkLmdqZGd4czgAciExTHVyOEl6SVNxVm9qZE9pTHowQ0RsQ1RnUTJZaVNpMzc=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2021-04-08T10:44:00Z</dcterms:created>
  <dc:creator>UTENTE</dc:creator>
</cp:coreProperties>
</file>